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9F" w:rsidRPr="0086321C" w:rsidRDefault="00437D8F" w:rsidP="00437D8F">
      <w:pPr>
        <w:pStyle w:val="a3"/>
        <w:spacing w:before="0" w:beforeAutospacing="0" w:after="0" w:afterAutospacing="0" w:line="276" w:lineRule="auto"/>
        <w:jc w:val="center"/>
        <w:textAlignment w:val="baseline"/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</w:pPr>
      <w:r w:rsidRPr="0086321C"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>ПАМЯТКА ДЛЯ РАБОТНИКА ПО ВЫЧЕТАМ ПРИ РАСЧЕТЕ ИПН</w:t>
      </w:r>
    </w:p>
    <w:p w:rsidR="00437D8F" w:rsidRPr="0086321C" w:rsidRDefault="00437D8F" w:rsidP="00534C9F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a4"/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</w:pPr>
    </w:p>
    <w:p w:rsidR="00534C9F" w:rsidRPr="0086321C" w:rsidRDefault="00534C9F" w:rsidP="00534C9F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Style w:val="a4"/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Физическое лицо имеет право на применение следующих видов налоговых вычетов (Ст. 342 НК РК):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1) </w:t>
      </w:r>
      <w:r w:rsidRPr="0086321C"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>налоговый вычет в виде обязательных пенсионных взносов</w:t>
      </w:r>
      <w:r w:rsidRPr="0086321C">
        <w:rPr>
          <w:rFonts w:asciiTheme="minorHAnsi" w:hAnsiTheme="minorHAnsi" w:cstheme="minorHAnsi"/>
          <w:sz w:val="22"/>
          <w:szCs w:val="22"/>
        </w:rPr>
        <w:t> в размере 10%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1-1)</w:t>
      </w:r>
      <w:r w:rsidRPr="0086321C"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> налоговый вычет по взносам на обязательное социальное медицинское страхование</w:t>
      </w:r>
      <w:r w:rsidRPr="0086321C">
        <w:rPr>
          <w:rFonts w:asciiTheme="minorHAnsi" w:hAnsiTheme="minorHAnsi" w:cstheme="minorHAnsi"/>
          <w:sz w:val="22"/>
          <w:szCs w:val="22"/>
        </w:rPr>
        <w:t> в размере 2%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2) </w:t>
      </w:r>
      <w:r w:rsidRPr="0086321C"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>налоговый вычет по пенсионным выплатам и договорам накопительного страхования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3) </w:t>
      </w:r>
      <w:r w:rsidRPr="0086321C"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>стандартные налоговые вычеты</w:t>
      </w:r>
      <w:r w:rsidRPr="0086321C">
        <w:rPr>
          <w:rFonts w:asciiTheme="minorHAnsi" w:hAnsiTheme="minorHAnsi" w:cstheme="minorHAnsi"/>
          <w:sz w:val="22"/>
          <w:szCs w:val="22"/>
        </w:rPr>
        <w:t> (</w:t>
      </w:r>
      <w:r w:rsidR="009314D0" w:rsidRPr="0086321C">
        <w:rPr>
          <w:rFonts w:asciiTheme="minorHAnsi" w:hAnsiTheme="minorHAnsi" w:cstheme="minorHAnsi"/>
          <w:sz w:val="22"/>
          <w:szCs w:val="22"/>
        </w:rPr>
        <w:t>14</w:t>
      </w:r>
      <w:r w:rsidRPr="0086321C">
        <w:rPr>
          <w:rFonts w:asciiTheme="minorHAnsi" w:hAnsiTheme="minorHAnsi" w:cstheme="minorHAnsi"/>
          <w:sz w:val="22"/>
          <w:szCs w:val="22"/>
        </w:rPr>
        <w:t xml:space="preserve"> </w:t>
      </w:r>
      <w:r w:rsidR="009314D0" w:rsidRPr="0086321C">
        <w:rPr>
          <w:rFonts w:asciiTheme="minorHAnsi" w:hAnsiTheme="minorHAnsi" w:cstheme="minorHAnsi"/>
          <w:sz w:val="22"/>
          <w:szCs w:val="22"/>
        </w:rPr>
        <w:t>МРП</w:t>
      </w:r>
      <w:r w:rsidR="00F534FB">
        <w:rPr>
          <w:rFonts w:asciiTheme="minorHAnsi" w:hAnsiTheme="minorHAnsi" w:cstheme="minorHAnsi"/>
          <w:sz w:val="22"/>
          <w:szCs w:val="22"/>
        </w:rPr>
        <w:t>,</w:t>
      </w:r>
      <w:r w:rsidRPr="0086321C">
        <w:rPr>
          <w:rFonts w:asciiTheme="minorHAnsi" w:hAnsiTheme="minorHAnsi" w:cstheme="minorHAnsi"/>
          <w:sz w:val="22"/>
          <w:szCs w:val="22"/>
        </w:rPr>
        <w:t xml:space="preserve"> 882 МРП)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4) </w:t>
      </w:r>
      <w:r w:rsidRPr="0086321C">
        <w:rPr>
          <w:rStyle w:val="a4"/>
          <w:rFonts w:asciiTheme="minorHAnsi" w:hAnsiTheme="minorHAnsi" w:cstheme="minorHAnsi"/>
          <w:iCs/>
          <w:sz w:val="22"/>
          <w:szCs w:val="22"/>
          <w:bdr w:val="none" w:sz="0" w:space="0" w:color="auto" w:frame="1"/>
        </w:rPr>
        <w:t>прочие налоговые вычеты, которые включают в себя: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налоговый вычет по добровольным пенсионным взносам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налоговый вычет на медицину 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    налоговый вычет по вознаграждениям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b/>
          <w:lang w:eastAsia="ru-RU"/>
        </w:rPr>
      </w:pPr>
      <w:r w:rsidRPr="00F534FB">
        <w:rPr>
          <w:b/>
          <w:bdr w:val="none" w:sz="0" w:space="0" w:color="auto" w:frame="1"/>
          <w:lang w:eastAsia="ru-RU"/>
        </w:rPr>
        <w:t>Статья 346 НК РК. Стандартные вычеты</w:t>
      </w:r>
    </w:p>
    <w:p w:rsidR="007E5B59" w:rsidRDefault="00F534FB" w:rsidP="00F534FB">
      <w:pPr>
        <w:pStyle w:val="a6"/>
        <w:spacing w:line="276" w:lineRule="auto"/>
        <w:jc w:val="both"/>
        <w:rPr>
          <w:b/>
          <w:lang w:eastAsia="ru-RU"/>
        </w:rPr>
      </w:pPr>
      <w:r w:rsidRPr="00F534FB">
        <w:rPr>
          <w:b/>
          <w:lang w:eastAsia="ru-RU"/>
        </w:rPr>
        <w:t xml:space="preserve">      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b/>
          <w:lang w:eastAsia="ru-RU"/>
        </w:rPr>
      </w:pPr>
      <w:r w:rsidRPr="00F534FB">
        <w:rPr>
          <w:b/>
          <w:lang w:eastAsia="ru-RU"/>
        </w:rPr>
        <w:t>1. Стандартными вычетами являются:</w:t>
      </w:r>
    </w:p>
    <w:p w:rsidR="007E5B59" w:rsidRDefault="00F534FB" w:rsidP="00F534FB">
      <w:pPr>
        <w:pStyle w:val="a6"/>
        <w:spacing w:line="276" w:lineRule="auto"/>
        <w:jc w:val="both"/>
        <w:rPr>
          <w:color w:val="FF0000"/>
          <w:shd w:val="clear" w:color="auto" w:fill="FFFFFF"/>
          <w:lang w:eastAsia="ru-RU"/>
        </w:rPr>
      </w:pPr>
      <w:r w:rsidRPr="00F534FB">
        <w:rPr>
          <w:color w:val="FF0000"/>
          <w:shd w:val="clear" w:color="auto" w:fill="FFFFFF"/>
          <w:lang w:eastAsia="ru-RU"/>
        </w:rPr>
        <w:t>      </w:t>
      </w:r>
      <w:bookmarkStart w:id="0" w:name="z13886"/>
      <w:bookmarkEnd w:id="0"/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 xml:space="preserve">1) </w:t>
      </w:r>
      <w:r w:rsidRPr="00F534FB">
        <w:rPr>
          <w:b/>
          <w:i/>
          <w:lang w:eastAsia="ru-RU"/>
        </w:rPr>
        <w:t>14-кратный размер месячного расчетного показателя</w:t>
      </w:r>
      <w:r w:rsidRPr="00F534FB">
        <w:rPr>
          <w:lang w:eastAsia="ru-RU"/>
        </w:rPr>
        <w:t>, установленного законом о республиканском бюджете и действующего на 1 января соответствующего финансового года. Стандартный вычет применяется за каждый календарный месяц. Общая сумма стандартного вычета за календарный год не должна превышать 168-кратный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</w:t>
      </w:r>
      <w:r>
        <w:rPr>
          <w:lang w:eastAsia="ru-RU"/>
        </w:rPr>
        <w:t xml:space="preserve">. </w:t>
      </w:r>
      <w:r w:rsidRPr="00F534FB">
        <w:rPr>
          <w:b/>
          <w:lang w:eastAsia="ru-RU"/>
        </w:rPr>
        <w:t>В 2022 году данный вычет равен 42 882 тенге.</w:t>
      </w:r>
    </w:p>
    <w:p w:rsidR="007E5B59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 xml:space="preserve">      </w:t>
      </w:r>
    </w:p>
    <w:p w:rsidR="00F534FB" w:rsidRPr="00CC3A17" w:rsidRDefault="00F534FB" w:rsidP="00F534FB">
      <w:pPr>
        <w:pStyle w:val="a6"/>
        <w:spacing w:line="276" w:lineRule="auto"/>
        <w:jc w:val="both"/>
        <w:rPr>
          <w:u w:val="single"/>
          <w:lang w:eastAsia="ru-RU"/>
        </w:rPr>
      </w:pPr>
      <w:r w:rsidRPr="00F534FB">
        <w:rPr>
          <w:lang w:eastAsia="ru-RU"/>
        </w:rPr>
        <w:t xml:space="preserve">2) </w:t>
      </w:r>
      <w:r w:rsidRPr="007E5B59">
        <w:rPr>
          <w:b/>
          <w:i/>
          <w:lang w:eastAsia="ru-RU"/>
        </w:rPr>
        <w:t>882-кратный размер месячного расчетного показателя за календарный год</w:t>
      </w:r>
      <w:r w:rsidR="007E5B59">
        <w:rPr>
          <w:b/>
          <w:i/>
          <w:lang w:eastAsia="ru-RU"/>
        </w:rPr>
        <w:t xml:space="preserve"> (в 2022 году</w:t>
      </w:r>
      <w:r w:rsidRPr="007E5B59">
        <w:rPr>
          <w:b/>
          <w:i/>
          <w:lang w:eastAsia="ru-RU"/>
        </w:rPr>
        <w:t xml:space="preserve"> </w:t>
      </w:r>
      <w:r w:rsidR="007E5B59">
        <w:rPr>
          <w:b/>
          <w:i/>
          <w:lang w:eastAsia="ru-RU"/>
        </w:rPr>
        <w:t xml:space="preserve"> размер вычета составляет 2 701 566 тенге) </w:t>
      </w:r>
      <w:r w:rsidRPr="007E5B59">
        <w:rPr>
          <w:b/>
          <w:i/>
          <w:lang w:eastAsia="ru-RU"/>
        </w:rPr>
        <w:t xml:space="preserve">на основании того, что такое </w:t>
      </w:r>
      <w:r w:rsidRPr="00CC3A17">
        <w:rPr>
          <w:b/>
          <w:i/>
          <w:u w:val="single"/>
          <w:lang w:eastAsia="ru-RU"/>
        </w:rPr>
        <w:t>лицо на дату применения настоящего подпункта является: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участником Великой Отечественной войны, лицом, приравненным по льготам к участникам Великой Отечественной войны, и ветераном боевых действий на территории других государств;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лицом,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лицом,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лицом с инвалидностью первой, второй или третьей групп;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ребенком с инвалидностью.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В случае</w:t>
      </w:r>
      <w:proofErr w:type="gramStart"/>
      <w:r w:rsidRPr="00F534FB">
        <w:rPr>
          <w:lang w:eastAsia="ru-RU"/>
        </w:rPr>
        <w:t>,</w:t>
      </w:r>
      <w:proofErr w:type="gramEnd"/>
      <w:r w:rsidRPr="00F534FB">
        <w:rPr>
          <w:lang w:eastAsia="ru-RU"/>
        </w:rPr>
        <w:t xml:space="preserve"> если физическое лицо имеет несколько оснований для применения настоящего подпункта, исключение доходов не должно превышать предел дохода, установленного настоящим подпунктом;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 xml:space="preserve">      3) </w:t>
      </w:r>
      <w:r w:rsidRPr="00CC3A17">
        <w:rPr>
          <w:b/>
          <w:i/>
          <w:lang w:eastAsia="ru-RU"/>
        </w:rPr>
        <w:t xml:space="preserve">882-кратный размер месячного расчетного показателя за календарный год на основании того, что </w:t>
      </w:r>
      <w:r w:rsidRPr="00CC3A17">
        <w:rPr>
          <w:b/>
          <w:i/>
          <w:u w:val="single"/>
          <w:lang w:eastAsia="ru-RU"/>
        </w:rPr>
        <w:t>такое лицо на дату применения настоящего подпункта является: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одним из родителей, опекунов, попечителей ребенка с инвалидностью, – за каждого такого ребенка с инвалидностью до достижения им восемнадцатилетнего возраста;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одним из родителей, опекунов, попечителей лица, признанного лицом с инвалидностью по причине лицо с инвалидностью с детства", – за каждое такое лицо в течение его жизни;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lastRenderedPageBreak/>
        <w:t>      одним из усыновителей (</w:t>
      </w:r>
      <w:proofErr w:type="spellStart"/>
      <w:r w:rsidRPr="00F534FB">
        <w:rPr>
          <w:lang w:eastAsia="ru-RU"/>
        </w:rPr>
        <w:t>удочерителей</w:t>
      </w:r>
      <w:proofErr w:type="spellEnd"/>
      <w:r w:rsidRPr="00F534FB">
        <w:rPr>
          <w:lang w:eastAsia="ru-RU"/>
        </w:rPr>
        <w:t>), – за каждое такое лицо до достижения усыновленным (удочеренным) ребенком восемнадцатилетнего возраста;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одним из приемных родителей, принявших детей-сирот и детей, оставшихся без попечения родителей, в приемную семью, – за каждое такое лицо на период срока действия договора о передаче детей-сирот, детей, оставшихся без попечения родителей, в приемную семью.</w:t>
      </w:r>
    </w:p>
    <w:p w:rsidR="00F534FB" w:rsidRPr="00CC3A17" w:rsidRDefault="00F534FB" w:rsidP="00F534FB">
      <w:pPr>
        <w:pStyle w:val="a6"/>
        <w:spacing w:line="276" w:lineRule="auto"/>
        <w:jc w:val="both"/>
        <w:rPr>
          <w:i/>
          <w:lang w:eastAsia="ru-RU"/>
        </w:rPr>
      </w:pPr>
      <w:r w:rsidRPr="00F534FB">
        <w:rPr>
          <w:lang w:eastAsia="ru-RU"/>
        </w:rPr>
        <w:t xml:space="preserve">      </w:t>
      </w:r>
      <w:r w:rsidRPr="00CC3A17">
        <w:rPr>
          <w:i/>
          <w:lang w:eastAsia="ru-RU"/>
        </w:rPr>
        <w:t>Положения настоящего подпункта не применяются в отношении: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работников администраций соответствующих организаций образования, медицинских организаций, организаций социальной защиты населения, являющихся опекунами и попечителями лиц, нуждающихся в опеке и попечительстве, в силу трудовых отношений с такими организациями;</w:t>
      </w:r>
    </w:p>
    <w:p w:rsidR="00F534FB" w:rsidRPr="00F534FB" w:rsidRDefault="00F534FB" w:rsidP="00F534FB">
      <w:pPr>
        <w:pStyle w:val="a6"/>
        <w:spacing w:line="276" w:lineRule="auto"/>
        <w:jc w:val="both"/>
        <w:rPr>
          <w:lang w:eastAsia="ru-RU"/>
        </w:rPr>
      </w:pPr>
      <w:r w:rsidRPr="00F534FB">
        <w:rPr>
          <w:lang w:eastAsia="ru-RU"/>
        </w:rPr>
        <w:t>      лиц, вступающих в брак (супружество) с матерью или отцом усыновляемого ребенка (детей) в соответствии с брачно-семейным законодательством Республики Казахстан.</w:t>
      </w:r>
    </w:p>
    <w:p w:rsidR="00F534FB" w:rsidRDefault="00F534FB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74C2E" w:rsidRPr="00D74C2E" w:rsidRDefault="00D74C2E" w:rsidP="00D74C2E">
      <w:pPr>
        <w:pStyle w:val="a6"/>
        <w:spacing w:line="276" w:lineRule="auto"/>
        <w:jc w:val="both"/>
        <w:rPr>
          <w:b/>
          <w:lang w:eastAsia="ru-RU"/>
        </w:rPr>
      </w:pPr>
      <w:r w:rsidRPr="00D74C2E">
        <w:rPr>
          <w:b/>
          <w:bdr w:val="none" w:sz="0" w:space="0" w:color="auto" w:frame="1"/>
          <w:lang w:eastAsia="ru-RU"/>
        </w:rPr>
        <w:t>Статья 347. Налоговый вычет по добровольным пенсионным взносам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1. </w:t>
      </w:r>
      <w:r w:rsidRPr="00D74C2E">
        <w:rPr>
          <w:b/>
          <w:i/>
          <w:u w:val="single"/>
          <w:lang w:eastAsia="ru-RU"/>
        </w:rPr>
        <w:t xml:space="preserve">Налоговый вычет по добровольным пенсионным взносам применяется физическим лицом-резидентом Республики Казахстан </w:t>
      </w:r>
      <w:proofErr w:type="gramStart"/>
      <w:r w:rsidRPr="00D74C2E">
        <w:rPr>
          <w:b/>
          <w:i/>
          <w:u w:val="single"/>
          <w:lang w:eastAsia="ru-RU"/>
        </w:rPr>
        <w:t>по расходам на уплату добровольных пенсионных взносов</w:t>
      </w:r>
      <w:r w:rsidRPr="00D74C2E">
        <w:rPr>
          <w:lang w:eastAsia="ru-RU"/>
        </w:rPr>
        <w:t xml:space="preserve"> в соответствии с законодательством Республики Казахстан о пенсионном обеспечении</w:t>
      </w:r>
      <w:proofErr w:type="gramEnd"/>
      <w:r w:rsidRPr="00D74C2E">
        <w:rPr>
          <w:lang w:eastAsia="ru-RU"/>
        </w:rPr>
        <w:t>, произведенным в свою пользу.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2. </w:t>
      </w:r>
      <w:r w:rsidRPr="00D74C2E">
        <w:rPr>
          <w:b/>
          <w:i/>
          <w:lang w:eastAsia="ru-RU"/>
        </w:rPr>
        <w:t>Подтверждающими документами для применения налогового вычета по добровольным пенсионным взносам являются: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договор о пенсионном обеспечении за счет </w:t>
      </w:r>
      <w:r>
        <w:rPr>
          <w:lang w:eastAsia="ru-RU"/>
        </w:rPr>
        <w:t>добровольных пенсионных взносов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документ, подтверждающий уплату </w:t>
      </w:r>
      <w:r>
        <w:rPr>
          <w:lang w:eastAsia="ru-RU"/>
        </w:rPr>
        <w:t>добровольных пенсионных взносов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>
        <w:rPr>
          <w:lang w:eastAsia="ru-RU"/>
        </w:rPr>
        <w:t> </w:t>
      </w:r>
      <w:r w:rsidRPr="00D74C2E">
        <w:rPr>
          <w:lang w:eastAsia="ru-RU"/>
        </w:rPr>
        <w:t>3. Налоговый вычет по добровольным пенсионным взносам применяется в том налоговом периоде, на который приходится дата уплаты добровольных пенсионных взносов.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C2E" w:rsidRPr="00D74C2E" w:rsidRDefault="00D74C2E" w:rsidP="00D74C2E">
      <w:pPr>
        <w:pStyle w:val="a6"/>
        <w:spacing w:line="276" w:lineRule="auto"/>
        <w:jc w:val="both"/>
        <w:rPr>
          <w:b/>
          <w:lang w:eastAsia="ru-RU"/>
        </w:rPr>
      </w:pPr>
      <w:r w:rsidRPr="00D74C2E">
        <w:rPr>
          <w:b/>
          <w:bdr w:val="none" w:sz="0" w:space="0" w:color="auto" w:frame="1"/>
          <w:lang w:eastAsia="ru-RU"/>
        </w:rPr>
        <w:t>Статья 348. Налоговый вычет на медицину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b/>
          <w:i/>
          <w:u w:val="single"/>
          <w:lang w:eastAsia="ru-RU"/>
        </w:rPr>
      </w:pPr>
      <w:r w:rsidRPr="00D74C2E">
        <w:rPr>
          <w:lang w:eastAsia="ru-RU"/>
        </w:rPr>
        <w:t xml:space="preserve">1. </w:t>
      </w:r>
      <w:r w:rsidRPr="00D74C2E">
        <w:rPr>
          <w:b/>
          <w:i/>
          <w:lang w:eastAsia="ru-RU"/>
        </w:rPr>
        <w:t xml:space="preserve">Налоговый вычет на медицину применяется по расходам на оплату медицинских услуг </w:t>
      </w:r>
      <w:r w:rsidRPr="00D74C2E">
        <w:rPr>
          <w:b/>
          <w:i/>
          <w:u w:val="single"/>
          <w:lang w:eastAsia="ru-RU"/>
        </w:rPr>
        <w:t>(</w:t>
      </w:r>
      <w:proofErr w:type="gramStart"/>
      <w:r w:rsidRPr="00D74C2E">
        <w:rPr>
          <w:b/>
          <w:i/>
          <w:u w:val="single"/>
          <w:lang w:eastAsia="ru-RU"/>
        </w:rPr>
        <w:t>кроме</w:t>
      </w:r>
      <w:proofErr w:type="gramEnd"/>
      <w:r w:rsidRPr="00D74C2E">
        <w:rPr>
          <w:b/>
          <w:i/>
          <w:u w:val="single"/>
          <w:lang w:eastAsia="ru-RU"/>
        </w:rPr>
        <w:t xml:space="preserve"> косметологических).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2. Налоговый вычет на медицину применяет физическое лицо-резидент Республики Казахстан по расходам на медицину, </w:t>
      </w:r>
      <w:r w:rsidRPr="00D74C2E">
        <w:rPr>
          <w:b/>
          <w:i/>
          <w:u w:val="single"/>
          <w:lang w:eastAsia="ru-RU"/>
        </w:rPr>
        <w:t>произведенным в свою пользу.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      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b/>
          <w:i/>
          <w:lang w:eastAsia="ru-RU"/>
        </w:rPr>
      </w:pPr>
      <w:r w:rsidRPr="00D74C2E">
        <w:rPr>
          <w:lang w:eastAsia="ru-RU"/>
        </w:rPr>
        <w:t xml:space="preserve">3. Налоговый вычет на медицину применяется </w:t>
      </w:r>
      <w:r w:rsidRPr="00D74C2E">
        <w:rPr>
          <w:b/>
          <w:i/>
          <w:lang w:eastAsia="ru-RU"/>
        </w:rPr>
        <w:t>в размере не более 94-кратного размера месячного расчетного показателя, определенного за календарный год.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      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4. </w:t>
      </w:r>
      <w:r w:rsidRPr="00D74C2E">
        <w:rPr>
          <w:b/>
          <w:i/>
          <w:lang w:eastAsia="ru-RU"/>
        </w:rPr>
        <w:t>Подтверждающими документами для применения налогового вычета на медицину являются: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>      1) договор на оказание платных медицинских услуг с выделением стоимости медицинских услуг – в случае его</w:t>
      </w:r>
      <w:r>
        <w:rPr>
          <w:lang w:eastAsia="ru-RU"/>
        </w:rPr>
        <w:t xml:space="preserve"> заключения в письменной форме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>      2) выписка, содержащая информаци</w:t>
      </w:r>
      <w:r>
        <w:rPr>
          <w:lang w:eastAsia="ru-RU"/>
        </w:rPr>
        <w:t>ю о стоимости медицинских услуг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>      3) документ, подтверждающи</w:t>
      </w:r>
      <w:r>
        <w:rPr>
          <w:lang w:eastAsia="ru-RU"/>
        </w:rPr>
        <w:t>й факт оплаты медицинских услуг</w:t>
      </w:r>
    </w:p>
    <w:p w:rsid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</w:t>
      </w:r>
    </w:p>
    <w:p w:rsidR="00D74C2E" w:rsidRPr="00D74C2E" w:rsidRDefault="00D74C2E" w:rsidP="00595EA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C2E">
        <w:rPr>
          <w:lang w:eastAsia="ru-RU"/>
        </w:rPr>
        <w:t xml:space="preserve"> </w:t>
      </w:r>
    </w:p>
    <w:p w:rsidR="00D74C2E" w:rsidRPr="00595EAF" w:rsidRDefault="00D74C2E" w:rsidP="00D74C2E">
      <w:pPr>
        <w:pStyle w:val="a6"/>
        <w:spacing w:line="276" w:lineRule="auto"/>
        <w:jc w:val="both"/>
        <w:rPr>
          <w:b/>
          <w:lang w:eastAsia="ru-RU"/>
        </w:rPr>
      </w:pPr>
      <w:r w:rsidRPr="00595EAF">
        <w:rPr>
          <w:b/>
          <w:bdr w:val="none" w:sz="0" w:space="0" w:color="auto" w:frame="1"/>
          <w:lang w:eastAsia="ru-RU"/>
        </w:rPr>
        <w:lastRenderedPageBreak/>
        <w:t>Статья 349. Налоговый вычет по вознаграждениям</w:t>
      </w:r>
      <w:r w:rsidR="00595EAF">
        <w:rPr>
          <w:b/>
          <w:bdr w:val="none" w:sz="0" w:space="0" w:color="auto" w:frame="1"/>
          <w:lang w:eastAsia="ru-RU"/>
        </w:rPr>
        <w:t>. АО «</w:t>
      </w:r>
      <w:proofErr w:type="spellStart"/>
      <w:r w:rsidR="00595EAF">
        <w:rPr>
          <w:b/>
          <w:bdr w:val="none" w:sz="0" w:space="0" w:color="auto" w:frame="1"/>
          <w:lang w:eastAsia="ru-RU"/>
        </w:rPr>
        <w:t>Отбасы</w:t>
      </w:r>
      <w:proofErr w:type="spellEnd"/>
      <w:r w:rsidR="00595EAF">
        <w:rPr>
          <w:b/>
          <w:bdr w:val="none" w:sz="0" w:space="0" w:color="auto" w:frame="1"/>
          <w:lang w:eastAsia="ru-RU"/>
        </w:rPr>
        <w:t xml:space="preserve"> Банк» (ранее – ЖССБ)</w:t>
      </w:r>
    </w:p>
    <w:p w:rsidR="00595EAF" w:rsidRDefault="00595EAF" w:rsidP="00D74C2E">
      <w:pPr>
        <w:pStyle w:val="a6"/>
        <w:spacing w:line="276" w:lineRule="auto"/>
        <w:jc w:val="both"/>
        <w:rPr>
          <w:lang w:eastAsia="ru-RU"/>
        </w:rPr>
      </w:pPr>
    </w:p>
    <w:p w:rsidR="00D74C2E" w:rsidRPr="00D74C2E" w:rsidRDefault="00595EAF" w:rsidP="00D74C2E">
      <w:pPr>
        <w:pStyle w:val="a6"/>
        <w:spacing w:line="276" w:lineRule="auto"/>
        <w:jc w:val="both"/>
        <w:rPr>
          <w:lang w:eastAsia="ru-RU"/>
        </w:rPr>
      </w:pPr>
      <w:r>
        <w:rPr>
          <w:lang w:eastAsia="ru-RU"/>
        </w:rPr>
        <w:t> </w:t>
      </w:r>
      <w:r w:rsidR="00D74C2E" w:rsidRPr="00D74C2E">
        <w:rPr>
          <w:lang w:eastAsia="ru-RU"/>
        </w:rPr>
        <w:t xml:space="preserve">1. </w:t>
      </w:r>
      <w:r w:rsidR="00D74C2E" w:rsidRPr="00595EAF">
        <w:rPr>
          <w:b/>
          <w:i/>
          <w:u w:val="single"/>
          <w:lang w:eastAsia="ru-RU"/>
        </w:rPr>
        <w:t>Налоговый вычет по вознаграждениям применяется физическим лицом-резидентом Республики Казахстан по расходам на оплату вознаграждения по ипотечным жилищным займам, полученным в жилищных строительных сберегательных банках</w:t>
      </w:r>
      <w:r w:rsidR="00D74C2E" w:rsidRPr="00D74C2E">
        <w:rPr>
          <w:lang w:eastAsia="ru-RU"/>
        </w:rPr>
        <w:t xml:space="preserve">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сбережениях, произведенным в свою пользу.</w:t>
      </w:r>
    </w:p>
    <w:p w:rsidR="00595EAF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</w:t>
      </w:r>
    </w:p>
    <w:p w:rsidR="00D74C2E" w:rsidRPr="00595EAF" w:rsidRDefault="00D74C2E" w:rsidP="00D74C2E">
      <w:pPr>
        <w:pStyle w:val="a6"/>
        <w:spacing w:line="276" w:lineRule="auto"/>
        <w:jc w:val="both"/>
        <w:rPr>
          <w:b/>
          <w:i/>
          <w:lang w:eastAsia="ru-RU"/>
        </w:rPr>
      </w:pPr>
      <w:r w:rsidRPr="00D74C2E">
        <w:rPr>
          <w:lang w:eastAsia="ru-RU"/>
        </w:rPr>
        <w:t xml:space="preserve">2. </w:t>
      </w:r>
      <w:r w:rsidRPr="00595EAF">
        <w:rPr>
          <w:b/>
          <w:i/>
          <w:lang w:eastAsia="ru-RU"/>
        </w:rPr>
        <w:t>Подтверждающими документами для применения налогового вычета по вознаграждениям являются: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>      1)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</w:t>
      </w:r>
      <w:r w:rsidR="00595EAF">
        <w:rPr>
          <w:lang w:eastAsia="ru-RU"/>
        </w:rPr>
        <w:t>лищных строительных сбережениях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 xml:space="preserve">      2) график погашения ипотечного жилищного займа с </w:t>
      </w:r>
      <w:r w:rsidR="00595EAF">
        <w:rPr>
          <w:lang w:eastAsia="ru-RU"/>
        </w:rPr>
        <w:t>выделением суммы вознаграждения</w:t>
      </w:r>
    </w:p>
    <w:p w:rsidR="00D74C2E" w:rsidRPr="00D74C2E" w:rsidRDefault="00D74C2E" w:rsidP="00D74C2E">
      <w:pPr>
        <w:pStyle w:val="a6"/>
        <w:spacing w:line="276" w:lineRule="auto"/>
        <w:jc w:val="both"/>
        <w:rPr>
          <w:lang w:eastAsia="ru-RU"/>
        </w:rPr>
      </w:pPr>
      <w:r w:rsidRPr="00D74C2E">
        <w:rPr>
          <w:lang w:eastAsia="ru-RU"/>
        </w:rPr>
        <w:t>      3) документ, подтверждающий погашение</w:t>
      </w:r>
      <w:r w:rsidR="00595EAF">
        <w:rPr>
          <w:lang w:eastAsia="ru-RU"/>
        </w:rPr>
        <w:t xml:space="preserve"> вознаграждения по такому займу</w:t>
      </w:r>
    </w:p>
    <w:p w:rsidR="00D74C2E" w:rsidRDefault="00D74C2E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595EAF" w:rsidRPr="0086321C" w:rsidRDefault="00595EAF" w:rsidP="00595EA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6321C">
        <w:rPr>
          <w:rFonts w:asciiTheme="minorHAnsi" w:hAnsiTheme="minorHAnsi" w:cstheme="minorHAnsi"/>
          <w:b/>
          <w:sz w:val="22"/>
          <w:szCs w:val="22"/>
        </w:rPr>
        <w:t>п.1</w:t>
      </w:r>
      <w:proofErr w:type="gramStart"/>
      <w:r w:rsidRPr="0086321C">
        <w:rPr>
          <w:rFonts w:asciiTheme="minorHAnsi" w:hAnsiTheme="minorHAnsi" w:cstheme="minorHAnsi"/>
          <w:b/>
          <w:sz w:val="22"/>
          <w:szCs w:val="22"/>
        </w:rPr>
        <w:t xml:space="preserve"> С</w:t>
      </w:r>
      <w:proofErr w:type="gramEnd"/>
      <w:r w:rsidRPr="0086321C">
        <w:rPr>
          <w:rFonts w:asciiTheme="minorHAnsi" w:hAnsiTheme="minorHAnsi" w:cstheme="minorHAnsi"/>
          <w:b/>
          <w:sz w:val="22"/>
          <w:szCs w:val="22"/>
        </w:rPr>
        <w:t>т.343 НК РК:</w:t>
      </w:r>
    </w:p>
    <w:p w:rsidR="00595EAF" w:rsidRPr="0086321C" w:rsidRDefault="00595EAF" w:rsidP="00595EAF">
      <w:pPr>
        <w:pStyle w:val="a6"/>
        <w:spacing w:line="276" w:lineRule="auto"/>
        <w:jc w:val="both"/>
      </w:pPr>
      <w:r w:rsidRPr="0086321C">
        <w:rPr>
          <w:b/>
        </w:rPr>
        <w:t>Налоговые вычеты,</w:t>
      </w:r>
      <w:r w:rsidRPr="0086321C">
        <w:t xml:space="preserve"> </w:t>
      </w:r>
      <w:r w:rsidRPr="0086321C">
        <w:rPr>
          <w:i/>
        </w:rPr>
        <w:t>за исключением налоговых вычетов в виде обязательных пенсионных взносов, по взносам на обязательное социальное медицинское страхование и по пенсионным выплатам</w:t>
      </w:r>
      <w:r w:rsidRPr="0086321C">
        <w:t xml:space="preserve">, </w:t>
      </w:r>
      <w:r w:rsidRPr="0086321C">
        <w:rPr>
          <w:b/>
        </w:rPr>
        <w:t>применяются налоговым агентом у источника выплаты на основании:</w:t>
      </w:r>
    </w:p>
    <w:p w:rsidR="00595EAF" w:rsidRPr="0086321C" w:rsidRDefault="00595EAF" w:rsidP="00595EAF">
      <w:pPr>
        <w:pStyle w:val="a6"/>
        <w:spacing w:line="276" w:lineRule="auto"/>
        <w:jc w:val="both"/>
      </w:pPr>
      <w:r w:rsidRPr="0086321C">
        <w:t>      1) заявления физического лица о применении налоговых вычетов</w:t>
      </w:r>
    </w:p>
    <w:p w:rsidR="00595EAF" w:rsidRPr="0086321C" w:rsidRDefault="00595EAF" w:rsidP="00595EAF">
      <w:pPr>
        <w:pStyle w:val="a6"/>
        <w:spacing w:line="276" w:lineRule="auto"/>
        <w:jc w:val="both"/>
      </w:pPr>
      <w:r w:rsidRPr="0086321C">
        <w:t>      2) копий подтверждающих документов</w:t>
      </w:r>
    </w:p>
    <w:p w:rsidR="00595EAF" w:rsidRDefault="00595EA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C3A17" w:rsidRDefault="00CC3A17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Таким образом, для применения </w:t>
      </w:r>
      <w:r w:rsidR="00595EAF">
        <w:rPr>
          <w:rFonts w:asciiTheme="minorHAnsi" w:hAnsiTheme="minorHAnsi" w:cstheme="minorHAnsi"/>
          <w:b/>
          <w:sz w:val="22"/>
          <w:szCs w:val="22"/>
        </w:rPr>
        <w:t xml:space="preserve">вышеуказанных </w:t>
      </w:r>
      <w:r>
        <w:rPr>
          <w:rFonts w:asciiTheme="minorHAnsi" w:hAnsiTheme="minorHAnsi" w:cstheme="minorHAnsi"/>
          <w:b/>
          <w:sz w:val="22"/>
          <w:szCs w:val="22"/>
        </w:rPr>
        <w:t>вычетов в 14 МРП</w:t>
      </w:r>
      <w:r w:rsidR="00595EAF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882 МРП</w:t>
      </w:r>
      <w:r w:rsidR="00595EAF">
        <w:rPr>
          <w:rFonts w:asciiTheme="minorHAnsi" w:hAnsiTheme="minorHAnsi" w:cstheme="minorHAnsi"/>
          <w:b/>
          <w:sz w:val="22"/>
          <w:szCs w:val="22"/>
        </w:rPr>
        <w:t>, ДОПВ, ЖССБ</w:t>
      </w:r>
      <w:r>
        <w:rPr>
          <w:rFonts w:asciiTheme="minorHAnsi" w:hAnsiTheme="minorHAnsi" w:cstheme="minorHAnsi"/>
          <w:b/>
          <w:sz w:val="22"/>
          <w:szCs w:val="22"/>
        </w:rPr>
        <w:t xml:space="preserve"> НЕОБХОДИМО написать Заявление на их предоставление</w:t>
      </w:r>
      <w:r w:rsidR="005476A3"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="00B072DC">
        <w:rPr>
          <w:rFonts w:asciiTheme="minorHAnsi" w:hAnsiTheme="minorHAnsi" w:cstheme="minorHAnsi"/>
          <w:b/>
          <w:sz w:val="22"/>
          <w:szCs w:val="22"/>
        </w:rPr>
        <w:t xml:space="preserve">приложить </w:t>
      </w:r>
      <w:r w:rsidR="005476A3">
        <w:rPr>
          <w:rFonts w:asciiTheme="minorHAnsi" w:hAnsiTheme="minorHAnsi" w:cstheme="minorHAnsi"/>
          <w:b/>
          <w:sz w:val="22"/>
          <w:szCs w:val="22"/>
        </w:rPr>
        <w:t>подтверждающие документы, если Вы относитесь к льготной категории граждан</w:t>
      </w:r>
      <w:r>
        <w:rPr>
          <w:rFonts w:asciiTheme="minorHAnsi" w:hAnsiTheme="minorHAnsi" w:cstheme="minorHAnsi"/>
          <w:b/>
          <w:sz w:val="22"/>
          <w:szCs w:val="22"/>
        </w:rPr>
        <w:t xml:space="preserve">. При отсутствии Заявления, работодатель НЕ ИМЕЕТ ПРАВО </w:t>
      </w:r>
      <w:r w:rsidR="005476A3">
        <w:rPr>
          <w:rFonts w:asciiTheme="minorHAnsi" w:hAnsiTheme="minorHAnsi" w:cstheme="minorHAnsi"/>
          <w:b/>
          <w:sz w:val="22"/>
          <w:szCs w:val="22"/>
        </w:rPr>
        <w:t xml:space="preserve">применить вышеуказанные вычеты при расчете ИПН и соответственно сумма заработной платы к выдаче «на руки» будет меньше!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Fonts w:asciiTheme="minorHAnsi" w:hAnsiTheme="minorHAnsi" w:cstheme="minorHAnsi"/>
          <w:sz w:val="22"/>
          <w:szCs w:val="22"/>
        </w:rPr>
        <w:t>  </w:t>
      </w:r>
    </w:p>
    <w:p w:rsidR="00534C9F" w:rsidRPr="0086321C" w:rsidRDefault="00534C9F" w:rsidP="00534C9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321C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ВАЖНО! </w:t>
      </w:r>
      <w:r w:rsidRPr="0086321C">
        <w:rPr>
          <w:rStyle w:val="a4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Физическое лицо вправе применить за налоговый период определенный вид налогового вычета только у одного налогового агента</w:t>
      </w:r>
      <w:r w:rsidRPr="0086321C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, за исключением налоговых вычетов в виде обязательных пенсионных взносов и по взносам на обязательное социальное медицинское страхование (п.3</w:t>
      </w:r>
      <w:proofErr w:type="gramStart"/>
      <w:r w:rsidRPr="0086321C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С</w:t>
      </w:r>
      <w:proofErr w:type="gramEnd"/>
      <w:r w:rsidRPr="0086321C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т.343 НК РК).</w:t>
      </w:r>
      <w:bookmarkStart w:id="1" w:name="_GoBack"/>
      <w:bookmarkEnd w:id="1"/>
    </w:p>
    <w:p w:rsidR="00534C9F" w:rsidRPr="00A97F5E" w:rsidRDefault="00534C9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A97F5E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534C9F" w:rsidRPr="00A97F5E" w:rsidRDefault="00534C9F" w:rsidP="00534C9F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A97F5E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534C9F" w:rsidRPr="00A97F5E" w:rsidRDefault="00534C9F" w:rsidP="00534C9F">
      <w:pPr>
        <w:jc w:val="both"/>
        <w:rPr>
          <w:rFonts w:cstheme="minorHAnsi"/>
        </w:rPr>
      </w:pPr>
    </w:p>
    <w:p w:rsidR="002B5BB0" w:rsidRDefault="002B5BB0"/>
    <w:sectPr w:rsidR="002B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9F"/>
    <w:rsid w:val="002B5BB0"/>
    <w:rsid w:val="00437D8F"/>
    <w:rsid w:val="00534C9F"/>
    <w:rsid w:val="005476A3"/>
    <w:rsid w:val="00561E95"/>
    <w:rsid w:val="00595EAF"/>
    <w:rsid w:val="007E5B59"/>
    <w:rsid w:val="0086321C"/>
    <w:rsid w:val="009314D0"/>
    <w:rsid w:val="00B072DC"/>
    <w:rsid w:val="00CC3A17"/>
    <w:rsid w:val="00D74C2E"/>
    <w:rsid w:val="00F37C9A"/>
    <w:rsid w:val="00F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C9F"/>
    <w:rPr>
      <w:b/>
      <w:bCs/>
    </w:rPr>
  </w:style>
  <w:style w:type="character" w:styleId="a5">
    <w:name w:val="Hyperlink"/>
    <w:basedOn w:val="a0"/>
    <w:uiPriority w:val="99"/>
    <w:semiHidden/>
    <w:unhideWhenUsed/>
    <w:rsid w:val="0086321C"/>
    <w:rPr>
      <w:color w:val="0000FF"/>
      <w:u w:val="single"/>
    </w:rPr>
  </w:style>
  <w:style w:type="paragraph" w:styleId="a6">
    <w:name w:val="No Spacing"/>
    <w:uiPriority w:val="1"/>
    <w:qFormat/>
    <w:rsid w:val="00863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C9F"/>
    <w:rPr>
      <w:b/>
      <w:bCs/>
    </w:rPr>
  </w:style>
  <w:style w:type="character" w:styleId="a5">
    <w:name w:val="Hyperlink"/>
    <w:basedOn w:val="a0"/>
    <w:uiPriority w:val="99"/>
    <w:semiHidden/>
    <w:unhideWhenUsed/>
    <w:rsid w:val="0086321C"/>
    <w:rPr>
      <w:color w:val="0000FF"/>
      <w:u w:val="single"/>
    </w:rPr>
  </w:style>
  <w:style w:type="paragraph" w:styleId="a6">
    <w:name w:val="No Spacing"/>
    <w:uiPriority w:val="1"/>
    <w:qFormat/>
    <w:rsid w:val="00863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dcterms:created xsi:type="dcterms:W3CDTF">2022-08-04T03:42:00Z</dcterms:created>
  <dcterms:modified xsi:type="dcterms:W3CDTF">2022-08-04T04:15:00Z</dcterms:modified>
</cp:coreProperties>
</file>