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5403"/>
        <w:gridCol w:w="2365"/>
      </w:tblGrid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b/>
                <w:bCs/>
                <w:color w:val="222222"/>
                <w:bdr w:val="none" w:sz="0" w:space="0" w:color="auto" w:frame="1"/>
                <w:lang w:eastAsia="ru-RU"/>
              </w:rPr>
              <w:t>Статья</w:t>
            </w:r>
            <w:r w:rsidR="00713F9C">
              <w:rPr>
                <w:rFonts w:eastAsia="Times New Roman" w:cstheme="minorHAnsi"/>
                <w:b/>
                <w:bCs/>
                <w:color w:val="222222"/>
                <w:bdr w:val="none" w:sz="0" w:space="0" w:color="auto" w:frame="1"/>
                <w:lang w:eastAsia="ru-RU"/>
              </w:rPr>
              <w:t xml:space="preserve"> НК РК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713F9C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222222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351F81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222222"/>
                <w:bdr w:val="none" w:sz="0" w:space="0" w:color="auto" w:frame="1"/>
                <w:lang w:eastAsia="ru-RU"/>
              </w:rPr>
              <w:t>Размер</w:t>
            </w:r>
            <w:r w:rsidR="00426978" w:rsidRPr="00426978">
              <w:rPr>
                <w:rFonts w:eastAsia="Times New Roman" w:cstheme="minorHAnsi"/>
                <w:b/>
                <w:bCs/>
                <w:color w:val="222222"/>
                <w:bdr w:val="none" w:sz="0" w:space="0" w:color="auto" w:frame="1"/>
                <w:lang w:eastAsia="ru-RU"/>
              </w:rPr>
              <w:t xml:space="preserve"> МРП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1) пункта 2 статьи 319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1) компенсационные выплаты работникам в случаях, когда их работа протекает в пути, имеет разъездной характер, связана со служебными поездками в пределах обслуживаемых участков, – за каждый день такой работы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в размере 0,35-кратного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действующего на дату начисления</w:t>
            </w:r>
            <w:r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 xml:space="preserve">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таких выплат.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дату начисления выплат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2) пункта 2 статьи 319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2) компенсации при служебных командировках, в том числе в целях обучения, повышения квалификации или переподготовки работника в соответствии с законодательством Республики Казахстан, если иное не установлено настоящей статьей: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установленные в </w:t>
            </w:r>
            <w:hyperlink r:id="rId5" w:anchor="z4660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подпунктах 1)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 </w:t>
            </w:r>
            <w:hyperlink r:id="rId6" w:anchor="z4665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и </w:t>
            </w:r>
            <w:hyperlink r:id="rId7" w:anchor="z4667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4)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и </w:t>
            </w:r>
            <w:hyperlink r:id="rId8" w:anchor="z467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подпунктах 1)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 </w:t>
            </w:r>
            <w:hyperlink r:id="rId9" w:anchor="z4679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и </w:t>
            </w:r>
            <w:hyperlink r:id="rId10" w:anchor="z4681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4)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3 статьи 244 настоящего Кодекса;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 командировке в пределах Республики Казахстан – суточные не более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6-кратного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нахождения в командировке в течение периода, не превышающего сорока календарных дней нахождения в командировке;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 командировке за пределами Республики Казахстан – суточные не более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8-кратного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нахождения в командировке в течение периода, не превышающего сорока календарных дней нахождения в командировке.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20) пункта 2 статьи 319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20) стоимость безвозмездно переданного в рекламных целях товара (в том числе в виде дарения) в случае, если стоимость единицы такого товара не превышает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5-кратный размер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, установленного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соответствующий</w:t>
            </w:r>
            <w:r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 xml:space="preserve">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финансовый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год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дату такой передачи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дату передачи товара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Подпункт 40) пункта 2 статьи 319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40) расходы работодателя по направлению работника на обучение, повышение квалификации или переподготовку в соответствии с законодательством Республики Казахстан, совершенному без оформления служебной командировки, в случае обучения, повышения квалификации или переподготовки по специальности, связанной с деятельностью работодателя: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на оплату обучения, повышения квалификации или переподготовки работника;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работника на проживание в пределах норм, установленных уполномоченным органом;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на проезд к месту учебы при поступлении и обратно после завершения обучения, повышения квалификации или переподготовки работника;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сумма денег, назначенная работодателем к выплате работнику, в пределах: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6-кратного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прохождения обучения, повышения квалификации или переподготовки работника – в течение срока прохождения обучения, повышения квалификации или переподготовки работника в пределах Республики Казахстан;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8-кратного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прохождения обучения, повышения квалификации или переподготовки работника – в течение срока прохождения обучения, повышения квалификации или переподготовки работника за пределами Республики Казахстан.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Подпункт 42) пункта 2 статьи 319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42) расходы автономной организации образования, определенной </w:t>
            </w:r>
            <w:hyperlink r:id="rId11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подпунктами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и </w:t>
            </w:r>
            <w:hyperlink r:id="rId12" w:anchor="z5456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3)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при направлении на обучение, повышение квалификации или переподготовку физического лица,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 </w:t>
            </w:r>
            <w:hyperlink r:id="rId13" w:anchor="z5443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подпунктами 1)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– </w:t>
            </w:r>
            <w:hyperlink r:id="rId14" w:anchor="z5476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5)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по решению автономной организации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образования, осуществляющей такие расходы, с указанием специальности: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на оплату обучение, повышение квалификации или переподготовку физического лица;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физического лица на проживание в пределах норм, установленных уполномоченным органом;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произведенные расходы на проезд к месту учебы при поступлении и обратно после завершения обучения, повышения квалификации или переподготовки физического лица;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сумма денег, назначенная автономной организацией образования к выплате физическому лицу, в пределах: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6-кратного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прохождения обучения, повышения квалификации или переподготовки физического лица – в течение срока прохождения обучения, повышения квалификации или переподготовки обучаемого лица в пределах Республики Казахстан;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8-кратного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календарный день прохождения обучения, повышения квалификации или переподготовки физического лица – в течение срока прохождения обучения, повышения квалификации или переподготовки обучаемого лица за пределами Республики Казахстан.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43) пункта 2 статьи 319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43) выплаты, произведенные автономной организацией образования, определенной </w:t>
            </w:r>
            <w:hyperlink r:id="rId15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в виде: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фактически произведенных расходов на оплату обучения и (или) прохождения профессиональной практики, которые предусмотрены образовательной программой по очной форме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следующим уровням образования: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spell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послесреднее</w:t>
            </w:r>
            <w:proofErr w:type="spell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образование;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высшее образование;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послевузовское образование;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произведенных расходов на оплату участия в мероприятии внеурочной деятельности;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произведенных расходов на проезд к месту обучения и (или) прохождения профессиональной практики, которые предусмотрены настоящим подпунктом, а также к месту проведения мероприятия внеурочной деятельности и обратно, включая оплату расходов за бронь, – на основании документов, подтверждающих расходы на проезд и за бронь (в том числе электронного билета при наличии документа, подтверждающего факт оплаты его стоимости);</w:t>
            </w:r>
            <w:proofErr w:type="gramEnd"/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фактически произведенных расходов физического лица на проживание в пределах норм, установленных уполномоченным органом;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суммы денег, назначенной к выплате физическому лицу в пределах: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6-кратного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      </w:r>
            <w:hyperlink r:id="rId16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при направлении физического лица в пределах Республики Казахстан;</w:t>
            </w:r>
            <w:proofErr w:type="gramEnd"/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8-кратного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      </w:r>
            <w:hyperlink r:id="rId17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 пункта 1 статьи 291 настоящего Кодекса, при направлении физического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лица за пределы Республики Казахстан;</w:t>
            </w:r>
            <w:proofErr w:type="gramEnd"/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расходов, произведенных при оформлении разрешения на въезд и выезд (визы) (стоимость визы, консульских услуг, обязательного медицинского страхования), на основании подтверждающих документов.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Положения настоящего подпункта применяются к физическим лицам, которые на дату принятия решения автономной организацией образования, определенной </w:t>
            </w:r>
            <w:hyperlink r:id="rId18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и в период обучения и (или) прохождения профессиональной практики, участия в мероприятии внеурочной деятельности обучаются в такой автономной организации образования: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на подготовительном отделении;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 следующим уровням образования: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начальная школа, включающая дошкольное воспитание и обучение;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основная школа;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старшая школа;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по очной форме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следующим уровням образования: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spell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послесреднее</w:t>
            </w:r>
            <w:proofErr w:type="spell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образование;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высшее образование;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послевузовское образование.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Подпункт 44) пункта 2 статьи 319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Не рассматриваются в качестве дохода физического лица: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44) материальная выгода, полученная физическим лицом, которое обучается на подготовительном отделении автономной организации образования, определенной </w:t>
            </w:r>
            <w:hyperlink r:id="rId19" w:anchor="z5444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2)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пункта 1 статьи 291 настоящего Кодекса, в виде оплаты (возмещения) расходов на питание – в пределах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2-кратного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года, за каждый день учебного года, за исключением периода каникул.</w:t>
            </w:r>
            <w:proofErr w:type="gramEnd"/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11)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11) выигрыш по одной лотерее в пределах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6-кратного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на соответствующий финансовый год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дату начисления таких выигрышей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дату начисления выигрышей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Подпункт 12)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12) выплаты в связи с выполнением общественных работ и профессиональным обучением, осуществляемые за счет средств бюджета и (или) грантов, в 12-кратном размере месячного расчетного показателя, установленного на соответствующий финансовый год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дату такой выплаты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AF01DD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дату выплаты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14)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14) доход от личного подсобного хозяйства каждого лица, занимающегося личным подсобным хозяйством, – за год в пределах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282-кратного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При этом доходом от личного подсобного хозяйства признается доход от реализации лицом, занимающимся личным подсобным хозяйством, заготовительной организации в сфере агропромышленного комплекса, сельскохозяйственному кооперативу и (или) юридическому лицу, осуществляющему переработку сельскохозяйственного сырья, следующей сельскохозяйственной продукции от личного подсобного хозяйства: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скот крупный рогатый молочного стада живой;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скот крупный рогатый живой;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лошади и животные семейства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лошадиных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прочие, живые;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верблюды и </w:t>
            </w:r>
            <w:proofErr w:type="spell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верблюдовые</w:t>
            </w:r>
            <w:proofErr w:type="spell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живые;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овцы и козы живые;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свиньи живые;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домашняя птица живая;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яйца куриные в скорлупе свежие;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мясо скота крупного рогатого, свиней, овец, коз, лошадей и животных семейства лошадиных свежее или охлажденное;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молоко сырое скота крупного рогатого молочного стада;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мясо птицы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домашней свежее или охлажденное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картофель;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морковь;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капуста;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баклажаны;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помидоры;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огурцы;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чеснок;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лук;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свекла сахарная;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яблоки;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груши;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айва;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абрикосы;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вишня;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персики;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сливы;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шерсть щипаная, шкуры, кожи сырые скота крупного рогатого, животных семейства лошадиных, овец, коз.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деятельности, утвержденным уполномоченным государственным органом,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осуществляющий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государственное регулирование в области технического регулирования.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Положения настоящего подпункта применяются только одним налоговым агентом – заготовительной организацией в сфере агропромышленного комплекса, сельскохозяйственным кооперативом и (или) юридическим лицом, осуществляющим переработку сельскохозяйственного сырья, в отношении физического лица, представившего заготовительной организации в сфере агропромышленного комплекса, сельскохозяйственному кооперативу и (или) юридическому лицу, осуществляющему переработку сельскохозяйственного сырья, следующие документы: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справку о наличии личного подсобного хозяйства в соответствии с законодательством Республики Казахстан;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подтверждение местного исполнительного органа о наличии 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используемых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в личном подсобном хозяйстве: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земельного участка с указанием площади;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домашних животных с указанием количества;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домашних птиц с указанием количества;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заявление на применение корректировки доходов, подлежащих налогообложению.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При этом документы представляются налоговому агенту не менее одного раза в календарный год, в котором применена такая корректировка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Подпунктом 18)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18) выплаты в пределах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94-кратного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 xml:space="preserve">на 1 </w:t>
            </w:r>
            <w:proofErr w:type="spellStart"/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соответствующего</w:t>
            </w:r>
            <w:proofErr w:type="spell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финансового года, по каждому виду выплат, произведенные налоговым агентом в течение календарного года: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для покрытия расходов физического лица на медицинские услуги (кроме косметологических) – при предоставлении физическим лицом документов, подтверждающих получение медицинских услуг (кроме косметологических) и фактические расходы на их оплату, или расходов работодателя на уплату в пользу работника страховых премий по договорам добровольного страхования на случай болезни – при наличии договора добровольного страхования на случай болезни и документа, подтверждающего уплату страховых премий по договору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добровольного страхования на случай болезни;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 виде оказания материальной помощи работнику при рождении его ребенка – при предоставлении работником копии свидетельства (свидетельств) о рождении ребенка (детей);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на погребение – при наличии справки о смерти или свидетельства о смерти.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Указанные доходы освобождаются от налогообложения на основании заявления о применении корректировки дохода и при наличии подтверждающих документов.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Подпункт 27)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27) доходы в виде расходов работодателя на оплату отпуска по беременности и родам, отпуска работникам, усыновившим (удочерившим) новорожденного ребенка (детей), за вычетом суммы социальной выплаты на случай потери дохода в связи с беременностью и родами, усыновлением (удочерением) новорожденного ребенка (детей), осуществленной в соответствии с законодательством Республики Казахстан об обязательном социальном страховании, – в пределах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12-кратного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дату начисления дохода.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Положения настоящего подпункта применяются в случае, если расходы работодателя, указанные в настоящем подпункте, предусмотрены условиями трудового и (или) коллективного договора, актом работодателя.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AF01DD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дату начисления дохода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lastRenderedPageBreak/>
              <w:t>Подпункт 49) пункта 1 статьи 341</w:t>
            </w:r>
            <w:proofErr w:type="gramEnd"/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49) облагаемый доход работника – в размере 90 процентов от суммы такого дохода, определенного без учета корректировки, предусмотренной настоящим подпунктом.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Положение настоящего подпункта применяется к доходу работника, не превышающему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25-кратный размер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о года (в 2020 г. - </w:t>
            </w:r>
            <w:r w:rsidR="00AF01DD" w:rsidRPr="00AF01DD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2651 тенге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подпункт 2) пункта 1 статьи 346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1. Стандартными вычетами являются: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2) 882-кратный размер месячного расчетного показателя за календарный год на основании того, что такое лицо на дату применения настоящего подпункта является: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участником Великой Отечественной войны и приравненным к нему лицом;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лицом,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лицом,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инвалидом I, II или III групп;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ребенком-инвалидом.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В случае</w:t>
            </w: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</w:t>
            </w:r>
            <w:proofErr w:type="gram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 если физическое лицо имеет несколько оснований для применения настоящего подпункта, исключение доходов не должно превышать предел дохода, установленного настоящим подпунктом.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Примечание к статье 342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 Налогового кодекса, действующей в редакции, изложенной статьей 33 Закона о введении: «В целях применения главы 37 «Налоговые вычеты» под месячным расчетным показателем понимается месячный расчетный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показатель, установленный законом о республиканском бюджете и действующий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года». </w:t>
            </w:r>
          </w:p>
          <w:p w:rsidR="00426978" w:rsidRPr="00426978" w:rsidRDefault="00426978" w:rsidP="00426978">
            <w:pPr>
              <w:spacing w:after="15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lastRenderedPageBreak/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о года (в 2020 г. - </w:t>
            </w:r>
            <w:r w:rsidR="00AF01DD" w:rsidRPr="00AF01DD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2651 тенге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lastRenderedPageBreak/>
              <w:t>подпункт 3) пункта 1 статьи 346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1. Стандартными вычетами являются: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…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3) 882-кратный размер месячного расчетного показателя за календарный год на основании того, что такое лицо на дату применения настоящего подпункта является: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одним из родителей, опекунов, попечителей ребенка-инвалида, – за каждого такого ребенка-инвалида до достижения им восемнадцатилетнего возраста;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одним из родителей, опекунов, попечителей лица, признанного инвалидом по причине "инвалид с детства", – за каждое такое лицо в течение его жизни;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одним из усыновителей (</w:t>
            </w:r>
            <w:proofErr w:type="spell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удочерителей</w:t>
            </w:r>
            <w:proofErr w:type="spellEnd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), – за каждое такое лицо до достижения усыновленным (удочеренным) ребенком восемнадцатилетнего возраста;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одним из приемных родителей, принявших детей-сирот и детей, оставшихся без попечения родителей, в приемную семью, – за каждое такое лицо на период срока действия договора о передаче детей-сирот, детей, оставшихся без попечения родителей, в приемную семью.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Положения настоящего подпункта не применяются в отношении: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работников администраций соответствующих организаций образования, медицинских организаций, организаций социальной защиты населения, являющихся опекунами и попечителями лиц, нуждающихся в опеке и попечительстве, в силу трудовых отношений с такими организациями;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лиц, вступающих в брак (супружество) с матерью или отцом усыновляемого ребенка (детей) в соответствии с брачно-семейным законодательством Республики Казахстан.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Примечание к статье 342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Налогового кодекса, действующей в редакции, изложенной статьей 33 Закона о введении: «В целях применения главы 37 «Налоговые вычеты» под месячным расчетным показателем понимается месячный расчетный показатель, установленный законом о республиканском бюджете и действующий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года».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МРП на 1 января соответствующего финансового года (в 2020 г. - </w:t>
            </w:r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2651 тенге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AF01DD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</w:pPr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пункт 3</w:t>
            </w:r>
          </w:p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 xml:space="preserve"> статьи 348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3. Налоговый вычет на медицину применяется в размере не более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 xml:space="preserve">94-кратного размера месячного 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lastRenderedPageBreak/>
              <w:t>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определенного за календарный год.</w:t>
            </w:r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proofErr w:type="gramStart"/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При этом общая сумма налогового вычета на медицину и корректировки дохода для покрытия расходов физического лица на медицинские услуги (кроме косметологических) в соответствии с </w:t>
            </w:r>
            <w:hyperlink r:id="rId20" w:anchor="z13833" w:history="1">
              <w:r w:rsidRPr="00426978">
                <w:rPr>
                  <w:rFonts w:eastAsia="Times New Roman" w:cstheme="minorHAnsi"/>
                  <w:color w:val="003366"/>
                  <w:u w:val="single"/>
                  <w:bdr w:val="none" w:sz="0" w:space="0" w:color="auto" w:frame="1"/>
                  <w:lang w:eastAsia="ru-RU"/>
                </w:rPr>
                <w:t>подпунктом 18)</w:t>
              </w:r>
            </w:hyperlink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 пункта 1 статьи 341 настоящего Кодекса в совокупности за календарный год не должна превышать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94-кратный размер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 на 1 января соответствующего финансового года.</w:t>
            </w:r>
            <w:proofErr w:type="gramEnd"/>
          </w:p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Примечание к статье 342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Налогового кодекса, действующей в редакции, изложенной статьей 33 Закона о введении: «В целях применения главы 37 «Налоговые вычеты» под месячным расчетным показателем понимается месячный расчетный показатель, установленный законом о республиканском бюджете и действующий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 соответствующего финансового года».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 xml:space="preserve">МРП на 1 января соответствующего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 xml:space="preserve">о года (в 2020 г. - </w:t>
            </w:r>
            <w:r w:rsidR="00AF01DD" w:rsidRPr="00AF01DD">
              <w:rPr>
                <w:rFonts w:eastAsia="Times New Roman" w:cstheme="minorHAnsi"/>
                <w:b/>
                <w:color w:val="222222"/>
                <w:bdr w:val="none" w:sz="0" w:space="0" w:color="auto" w:frame="1"/>
                <w:lang w:eastAsia="ru-RU"/>
              </w:rPr>
              <w:t>2651 тенге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)</w:t>
            </w:r>
          </w:p>
          <w:p w:rsidR="00426978" w:rsidRPr="00426978" w:rsidRDefault="00426978" w:rsidP="00426978">
            <w:pPr>
              <w:spacing w:after="15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lang w:eastAsia="ru-RU"/>
              </w:rPr>
              <w:t> </w:t>
            </w:r>
          </w:p>
        </w:tc>
      </w:tr>
      <w:tr w:rsidR="00426978" w:rsidRPr="00426978" w:rsidTr="00426978">
        <w:tc>
          <w:tcPr>
            <w:tcW w:w="18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lastRenderedPageBreak/>
              <w:t>Пункт 2 статьи 360</w:t>
            </w:r>
          </w:p>
        </w:tc>
        <w:tc>
          <w:tcPr>
            <w:tcW w:w="540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both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2. Предварительный платеж по индивидуальному подоходному налогу исчисляется в размере </w:t>
            </w:r>
            <w:r w:rsidRPr="00426978">
              <w:rPr>
                <w:rFonts w:eastAsia="Times New Roman" w:cstheme="minorHAnsi"/>
                <w:i/>
                <w:iCs/>
                <w:color w:val="222222"/>
                <w:bdr w:val="none" w:sz="0" w:space="0" w:color="auto" w:frame="1"/>
                <w:lang w:eastAsia="ru-RU"/>
              </w:rPr>
              <w:t>2-кратного размера месячного расчетного показателя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, установленного законом о республиканском бюджете и действующего </w:t>
            </w:r>
            <w:r w:rsidRPr="00426978"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>на 1 января</w:t>
            </w:r>
            <w:r>
              <w:rPr>
                <w:rFonts w:eastAsia="Times New Roman" w:cstheme="minorHAnsi"/>
                <w:b/>
                <w:bCs/>
                <w:i/>
                <w:iCs/>
                <w:color w:val="222222"/>
                <w:bdr w:val="none" w:sz="0" w:space="0" w:color="auto" w:frame="1"/>
                <w:lang w:eastAsia="ru-RU"/>
              </w:rPr>
              <w:t xml:space="preserve"> </w:t>
            </w: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соответствующего финансового года, за каждый месяц выполнения работ (оказания услуг) соответствующего периода, указанного трудовым иммигрантом-резидентом, в заявлении на получение (продление) разрешения трудовому иммигранту.</w:t>
            </w:r>
          </w:p>
        </w:tc>
        <w:tc>
          <w:tcPr>
            <w:tcW w:w="23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26978" w:rsidRPr="00426978" w:rsidRDefault="00426978" w:rsidP="00426978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lang w:eastAsia="ru-RU"/>
              </w:rPr>
            </w:pPr>
            <w:r w:rsidRPr="00426978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МРП на 1 января соответствующего финансовог</w:t>
            </w:r>
            <w:r w:rsidR="00AF01DD">
              <w:rPr>
                <w:rFonts w:eastAsia="Times New Roman" w:cstheme="minorHAnsi"/>
                <w:color w:val="222222"/>
                <w:bdr w:val="none" w:sz="0" w:space="0" w:color="auto" w:frame="1"/>
                <w:lang w:eastAsia="ru-RU"/>
              </w:rPr>
              <w:t>о года (в 2020 г. - 2651 тенге)</w:t>
            </w:r>
            <w:bookmarkStart w:id="0" w:name="_GoBack"/>
            <w:bookmarkEnd w:id="0"/>
          </w:p>
        </w:tc>
      </w:tr>
    </w:tbl>
    <w:p w:rsidR="00426978" w:rsidRDefault="00426978"/>
    <w:sectPr w:rsidR="0042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78"/>
    <w:rsid w:val="00351F81"/>
    <w:rsid w:val="00426978"/>
    <w:rsid w:val="00713F9C"/>
    <w:rsid w:val="00A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2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6978"/>
    <w:rPr>
      <w:b/>
      <w:bCs/>
    </w:rPr>
  </w:style>
  <w:style w:type="character" w:styleId="a4">
    <w:name w:val="Emphasis"/>
    <w:basedOn w:val="a0"/>
    <w:uiPriority w:val="20"/>
    <w:qFormat/>
    <w:rsid w:val="00426978"/>
    <w:rPr>
      <w:i/>
      <w:iCs/>
    </w:rPr>
  </w:style>
  <w:style w:type="character" w:styleId="a5">
    <w:name w:val="Hyperlink"/>
    <w:basedOn w:val="a0"/>
    <w:uiPriority w:val="99"/>
    <w:semiHidden/>
    <w:unhideWhenUsed/>
    <w:rsid w:val="004269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2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6978"/>
    <w:rPr>
      <w:b/>
      <w:bCs/>
    </w:rPr>
  </w:style>
  <w:style w:type="character" w:styleId="a4">
    <w:name w:val="Emphasis"/>
    <w:basedOn w:val="a0"/>
    <w:uiPriority w:val="20"/>
    <w:qFormat/>
    <w:rsid w:val="00426978"/>
    <w:rPr>
      <w:i/>
      <w:iCs/>
    </w:rPr>
  </w:style>
  <w:style w:type="character" w:styleId="a5">
    <w:name w:val="Hyperlink"/>
    <w:basedOn w:val="a0"/>
    <w:uiPriority w:val="99"/>
    <w:semiHidden/>
    <w:unhideWhenUsed/>
    <w:rsid w:val="00426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99.12/rus/docs/K1700000120" TargetMode="External"/><Relationship Id="rId13" Type="http://schemas.openxmlformats.org/officeDocument/2006/relationships/hyperlink" Target="http://192.168.99.12/rus/docs/K1700000120" TargetMode="External"/><Relationship Id="rId18" Type="http://schemas.openxmlformats.org/officeDocument/2006/relationships/hyperlink" Target="http://192.168.99.12/rus/docs/K170000012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192.168.99.12/rus/docs/K1700000120" TargetMode="External"/><Relationship Id="rId12" Type="http://schemas.openxmlformats.org/officeDocument/2006/relationships/hyperlink" Target="http://192.168.99.12/rus/docs/K1700000120" TargetMode="External"/><Relationship Id="rId17" Type="http://schemas.openxmlformats.org/officeDocument/2006/relationships/hyperlink" Target="http://192.168.99.12/rus/docs/K17000001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99.12/rus/docs/K1700000120" TargetMode="External"/><Relationship Id="rId20" Type="http://schemas.openxmlformats.org/officeDocument/2006/relationships/hyperlink" Target="http://192.168.99.12/rus/docs/K1700000120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99.12/rus/docs/K1700000120" TargetMode="External"/><Relationship Id="rId11" Type="http://schemas.openxmlformats.org/officeDocument/2006/relationships/hyperlink" Target="http://192.168.99.12/rus/docs/K1700000120" TargetMode="External"/><Relationship Id="rId5" Type="http://schemas.openxmlformats.org/officeDocument/2006/relationships/hyperlink" Target="http://192.168.99.12/rus/docs/K1700000120" TargetMode="External"/><Relationship Id="rId15" Type="http://schemas.openxmlformats.org/officeDocument/2006/relationships/hyperlink" Target="http://192.168.99.12/rus/docs/K1700000120" TargetMode="External"/><Relationship Id="rId10" Type="http://schemas.openxmlformats.org/officeDocument/2006/relationships/hyperlink" Target="http://192.168.99.12/rus/docs/K1700000120" TargetMode="External"/><Relationship Id="rId19" Type="http://schemas.openxmlformats.org/officeDocument/2006/relationships/hyperlink" Target="http://192.168.99.12/rus/docs/K1700000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99.12/rus/docs/K1700000120" TargetMode="External"/><Relationship Id="rId14" Type="http://schemas.openxmlformats.org/officeDocument/2006/relationships/hyperlink" Target="http://192.168.99.12/rus/docs/K17000001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2020-05-07T03:02:00Z</dcterms:created>
  <dcterms:modified xsi:type="dcterms:W3CDTF">2020-05-07T03:15:00Z</dcterms:modified>
</cp:coreProperties>
</file>